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3"/>
        <w:gridCol w:w="2877"/>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5142C25F" w:rsidR="00746E58" w:rsidRPr="00D06395" w:rsidRDefault="00736203" w:rsidP="0063097E">
            <w:pPr>
              <w:rPr>
                <w:rFonts w:ascii="Mona Sans" w:hAnsi="Mona Sans"/>
                <w:b/>
                <w:sz w:val="20"/>
                <w:szCs w:val="20"/>
              </w:rPr>
            </w:pPr>
            <w:r>
              <w:rPr>
                <w:rFonts w:ascii="Mona Sans" w:hAnsi="Mona Sans"/>
                <w:b/>
                <w:sz w:val="20"/>
                <w:szCs w:val="20"/>
              </w:rPr>
              <w:t>Strike</w:t>
            </w:r>
            <w:r w:rsidR="00C06FD0" w:rsidRPr="00D06395">
              <w:rPr>
                <w:rFonts w:ascii="Mona Sans" w:hAnsi="Mona Sans"/>
                <w:b/>
                <w:sz w:val="20"/>
                <w:szCs w:val="20"/>
              </w:rPr>
              <w:t xml:space="preserve"> (</w:t>
            </w:r>
            <w:r>
              <w:rPr>
                <w:rFonts w:ascii="Mona Sans" w:hAnsi="Mona Sans"/>
                <w:b/>
                <w:sz w:val="20"/>
                <w:szCs w:val="20"/>
              </w:rPr>
              <w:t>Targets</w:t>
            </w:r>
            <w:r w:rsidR="00C06FD0" w:rsidRPr="00D06395">
              <w:rPr>
                <w:rFonts w:ascii="Mona Sans" w:hAnsi="Mona Sans"/>
                <w:b/>
                <w:sz w:val="20"/>
                <w:szCs w:val="20"/>
              </w:rPr>
              <w:t>)</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4B4C58C4" w14:textId="7A1B7DA6" w:rsidR="00736203" w:rsidRPr="00736203" w:rsidRDefault="00736203" w:rsidP="00736203">
            <w:pPr>
              <w:pStyle w:val="NormalWeb"/>
              <w:rPr>
                <w:rFonts w:ascii="Mona Sans" w:hAnsi="Mona Sans" w:cs="Arial"/>
                <w:bCs/>
                <w:sz w:val="20"/>
                <w:szCs w:val="20"/>
              </w:rPr>
            </w:pPr>
            <w:r w:rsidRPr="00736203">
              <w:rPr>
                <w:rFonts w:ascii="Mona Sans" w:hAnsi="Mona Sans" w:cs="Arial"/>
                <w:bCs/>
                <w:sz w:val="20"/>
                <w:szCs w:val="20"/>
              </w:rPr>
              <w:t xml:space="preserve">Step into </w:t>
            </w:r>
            <w:r w:rsidRPr="00736203">
              <w:rPr>
                <w:rFonts w:ascii="Mona Sans" w:hAnsi="Mona Sans" w:cs="Arial"/>
                <w:b/>
                <w:sz w:val="20"/>
                <w:szCs w:val="20"/>
              </w:rPr>
              <w:t>Strike</w:t>
            </w:r>
            <w:r w:rsidRPr="00736203">
              <w:rPr>
                <w:rFonts w:ascii="Mona Sans" w:hAnsi="Mona Sans" w:cs="Arial"/>
                <w:bCs/>
                <w:sz w:val="20"/>
                <w:szCs w:val="20"/>
              </w:rPr>
              <w:t xml:space="preserve">, where precision, control, and focus take centre stage. Inspired by the </w:t>
            </w:r>
            <w:r w:rsidRPr="00736203">
              <w:rPr>
                <w:rFonts w:ascii="Mona Sans" w:hAnsi="Mona Sans" w:cs="Arial"/>
                <w:b/>
                <w:sz w:val="20"/>
                <w:szCs w:val="20"/>
              </w:rPr>
              <w:t>snake</w:t>
            </w:r>
            <w:r w:rsidRPr="00736203">
              <w:rPr>
                <w:rFonts w:ascii="Mona Sans" w:hAnsi="Mona Sans" w:cs="Arial"/>
                <w:bCs/>
                <w:sz w:val="20"/>
                <w:szCs w:val="20"/>
              </w:rPr>
              <w:t>, fast, accurate, and calculated, this zone is all about lining up your shot and hitting the mark.</w:t>
            </w:r>
          </w:p>
          <w:p w14:paraId="75CA1049" w14:textId="4AF62474" w:rsidR="00746E58" w:rsidRPr="00D06395" w:rsidRDefault="00736203" w:rsidP="00736203">
            <w:pPr>
              <w:pStyle w:val="NormalWeb"/>
              <w:rPr>
                <w:rFonts w:ascii="Mona Sans" w:hAnsi="Mona Sans" w:cs="Arial"/>
                <w:bCs/>
                <w:sz w:val="20"/>
                <w:szCs w:val="20"/>
              </w:rPr>
            </w:pPr>
            <w:r w:rsidRPr="00736203">
              <w:rPr>
                <w:rFonts w:ascii="Mona Sans" w:hAnsi="Mona Sans" w:cs="Arial"/>
                <w:bCs/>
                <w:sz w:val="20"/>
                <w:szCs w:val="20"/>
              </w:rPr>
              <w:t>Whether it’s your first time picking up a bow or you’re refining your aim, Strike offers a mix of traditional and modern target sports. It’s about concentration, technique, and the satisfaction of getting it just right.</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26D00311" w14:textId="77777777" w:rsidR="00015AB3" w:rsidRPr="00015AB3" w:rsidRDefault="00015AB3" w:rsidP="00015AB3">
            <w:pPr>
              <w:spacing w:after="160" w:line="259" w:lineRule="auto"/>
              <w:rPr>
                <w:rFonts w:ascii="Mona Sans" w:hAnsi="Mona Sans"/>
                <w:sz w:val="20"/>
                <w:szCs w:val="20"/>
              </w:rPr>
            </w:pPr>
            <w:r w:rsidRPr="00015AB3">
              <w:rPr>
                <w:rFonts w:ascii="Mona Sans" w:hAnsi="Mona Sans"/>
                <w:sz w:val="20"/>
                <w:szCs w:val="20"/>
              </w:rPr>
              <w:t xml:space="preserve">Participants will take part in a range of target-based activities including </w:t>
            </w:r>
            <w:r w:rsidRPr="00015AB3">
              <w:rPr>
                <w:rFonts w:ascii="Mona Sans" w:hAnsi="Mona Sans"/>
                <w:b/>
                <w:bCs/>
                <w:sz w:val="20"/>
                <w:szCs w:val="20"/>
              </w:rPr>
              <w:t>Air Rifles</w:t>
            </w:r>
            <w:r w:rsidRPr="00015AB3">
              <w:rPr>
                <w:rFonts w:ascii="Mona Sans" w:hAnsi="Mona Sans"/>
                <w:sz w:val="20"/>
                <w:szCs w:val="20"/>
              </w:rPr>
              <w:t xml:space="preserve">, </w:t>
            </w:r>
            <w:r w:rsidRPr="00015AB3">
              <w:rPr>
                <w:rFonts w:ascii="Mona Sans" w:hAnsi="Mona Sans"/>
                <w:b/>
                <w:bCs/>
                <w:sz w:val="20"/>
                <w:szCs w:val="20"/>
              </w:rPr>
              <w:t>Archery</w:t>
            </w:r>
            <w:r w:rsidRPr="00015AB3">
              <w:rPr>
                <w:rFonts w:ascii="Mona Sans" w:hAnsi="Mona Sans"/>
                <w:sz w:val="20"/>
                <w:szCs w:val="20"/>
              </w:rPr>
              <w:t xml:space="preserve">, </w:t>
            </w:r>
            <w:r w:rsidRPr="00015AB3">
              <w:rPr>
                <w:rFonts w:ascii="Mona Sans" w:hAnsi="Mona Sans"/>
                <w:b/>
                <w:bCs/>
                <w:sz w:val="20"/>
                <w:szCs w:val="20"/>
              </w:rPr>
              <w:t>Crossbows</w:t>
            </w:r>
            <w:r w:rsidRPr="00015AB3">
              <w:rPr>
                <w:rFonts w:ascii="Mona Sans" w:hAnsi="Mona Sans"/>
                <w:sz w:val="20"/>
                <w:szCs w:val="20"/>
              </w:rPr>
              <w:t xml:space="preserve">, and </w:t>
            </w:r>
            <w:r w:rsidRPr="00015AB3">
              <w:rPr>
                <w:rFonts w:ascii="Mona Sans" w:hAnsi="Mona Sans"/>
                <w:b/>
                <w:bCs/>
                <w:sz w:val="20"/>
                <w:szCs w:val="20"/>
              </w:rPr>
              <w:t>Catapults</w:t>
            </w:r>
            <w:r w:rsidRPr="00015AB3">
              <w:rPr>
                <w:rFonts w:ascii="Mona Sans" w:hAnsi="Mona Sans"/>
                <w:sz w:val="20"/>
                <w:szCs w:val="20"/>
              </w:rPr>
              <w:t>, each offering a different way to test accuracy and control.</w:t>
            </w:r>
          </w:p>
          <w:p w14:paraId="1D9774EF" w14:textId="09A48D81" w:rsidR="000B327A" w:rsidRPr="00D06395" w:rsidRDefault="00015AB3" w:rsidP="003D7516">
            <w:pPr>
              <w:spacing w:after="160" w:line="259" w:lineRule="auto"/>
              <w:rPr>
                <w:rFonts w:ascii="Mona Sans" w:hAnsi="Mona Sans"/>
                <w:sz w:val="20"/>
                <w:szCs w:val="20"/>
              </w:rPr>
            </w:pPr>
            <w:r w:rsidRPr="00015AB3">
              <w:rPr>
                <w:rFonts w:ascii="Mona Sans" w:hAnsi="Mona Sans"/>
                <w:sz w:val="20"/>
                <w:szCs w:val="20"/>
              </w:rPr>
              <w:t xml:space="preserve">There are also fast-paced, interactive experiences such as </w:t>
            </w:r>
            <w:r w:rsidRPr="00015AB3">
              <w:rPr>
                <w:rFonts w:ascii="Mona Sans" w:hAnsi="Mona Sans"/>
                <w:b/>
                <w:bCs/>
                <w:sz w:val="20"/>
                <w:szCs w:val="20"/>
              </w:rPr>
              <w:t>Laser Tag</w:t>
            </w:r>
            <w:r w:rsidRPr="00015AB3">
              <w:rPr>
                <w:rFonts w:ascii="Mona Sans" w:hAnsi="Mona Sans"/>
                <w:sz w:val="20"/>
                <w:szCs w:val="20"/>
              </w:rPr>
              <w:t xml:space="preserve"> and </w:t>
            </w:r>
            <w:r w:rsidRPr="00015AB3">
              <w:rPr>
                <w:rFonts w:ascii="Mona Sans" w:hAnsi="Mona Sans"/>
                <w:b/>
                <w:bCs/>
                <w:sz w:val="20"/>
                <w:szCs w:val="20"/>
              </w:rPr>
              <w:t>Paintball Tomb</w:t>
            </w:r>
            <w:r w:rsidRPr="00015AB3">
              <w:rPr>
                <w:rFonts w:ascii="Mona Sans" w:hAnsi="Mona Sans"/>
                <w:sz w:val="20"/>
                <w:szCs w:val="20"/>
              </w:rPr>
              <w:t xml:space="preserve">, alongside the chance to try </w:t>
            </w:r>
            <w:r w:rsidRPr="00015AB3">
              <w:rPr>
                <w:rFonts w:ascii="Mona Sans" w:hAnsi="Mona Sans"/>
                <w:b/>
                <w:bCs/>
                <w:sz w:val="20"/>
                <w:szCs w:val="20"/>
              </w:rPr>
              <w:t>Axe Throwing</w:t>
            </w:r>
            <w:r w:rsidRPr="00015AB3">
              <w:rPr>
                <w:rFonts w:ascii="Mona Sans" w:hAnsi="Mona Sans"/>
                <w:sz w:val="20"/>
                <w:szCs w:val="20"/>
              </w:rPr>
              <w:t xml:space="preserve"> and </w:t>
            </w:r>
            <w:r w:rsidRPr="00015AB3">
              <w:rPr>
                <w:rFonts w:ascii="Mona Sans" w:hAnsi="Mona Sans"/>
                <w:b/>
                <w:bCs/>
                <w:sz w:val="20"/>
                <w:szCs w:val="20"/>
              </w:rPr>
              <w:t>Inflatable Axe Throwing</w:t>
            </w:r>
            <w:r w:rsidRPr="00015AB3">
              <w:rPr>
                <w:rFonts w:ascii="Mona Sans" w:hAnsi="Mona Sans"/>
                <w:sz w:val="20"/>
                <w:szCs w:val="20"/>
              </w:rPr>
              <w:t xml:space="preserve">. For something completely different, participants can take control of </w:t>
            </w:r>
            <w:r w:rsidRPr="00015AB3">
              <w:rPr>
                <w:rFonts w:ascii="Mona Sans" w:hAnsi="Mona Sans"/>
                <w:b/>
                <w:bCs/>
                <w:sz w:val="20"/>
                <w:szCs w:val="20"/>
              </w:rPr>
              <w:t>Hovercrafts</w:t>
            </w:r>
            <w:r w:rsidRPr="00015AB3">
              <w:rPr>
                <w:rFonts w:ascii="Mona Sans" w:hAnsi="Mona Sans"/>
                <w:sz w:val="20"/>
                <w:szCs w:val="20"/>
              </w:rPr>
              <w:t>, adding a unique challenge that combines skill, coordination, and control.</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57CECE46" w14:textId="0093FDAE" w:rsidR="003E59C2" w:rsidRPr="00D06395" w:rsidRDefault="006B6E10" w:rsidP="004465D8">
            <w:pPr>
              <w:rPr>
                <w:rFonts w:ascii="Mona Sans" w:hAnsi="Mona Sans"/>
                <w:b/>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B26D6E" w:rsidRPr="00D06395">
              <w:rPr>
                <w:rFonts w:ascii="Mona Sans" w:hAnsi="Mona Sans"/>
                <w:sz w:val="20"/>
                <w:szCs w:val="20"/>
                <w:highlight w:val="yellow"/>
              </w:rPr>
              <w:t>XXX</w:t>
            </w:r>
            <w:r w:rsidR="003E59C2" w:rsidRPr="00D06395">
              <w:rPr>
                <w:rFonts w:ascii="Mona Sans" w:hAnsi="Mona Sans"/>
                <w:bCs/>
                <w:sz w:val="20"/>
                <w:szCs w:val="20"/>
              </w:rPr>
              <w:br/>
            </w:r>
          </w:p>
        </w:tc>
        <w:tc>
          <w:tcPr>
            <w:tcW w:w="1435" w:type="pct"/>
            <w:tcBorders>
              <w:top w:val="single" w:sz="4" w:space="0" w:color="auto"/>
            </w:tcBorders>
          </w:tcPr>
          <w:p w14:paraId="33CC342A" w14:textId="25A8E3DF" w:rsidR="00132990" w:rsidRPr="00D06395" w:rsidRDefault="00C67F4B" w:rsidP="00506B6E">
            <w:pPr>
              <w:rPr>
                <w:rFonts w:ascii="Mona Sans" w:hAnsi="Mona Sans"/>
                <w:b/>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B26D6E" w:rsidRPr="00D06395">
              <w:rPr>
                <w:rFonts w:ascii="Mona Sans" w:hAnsi="Mona Sans"/>
                <w:sz w:val="20"/>
                <w:szCs w:val="20"/>
                <w:highlight w:val="yellow"/>
              </w:rPr>
              <w:t>XXX</w:t>
            </w:r>
          </w:p>
        </w:tc>
        <w:tc>
          <w:tcPr>
            <w:tcW w:w="1438" w:type="pct"/>
            <w:tcBorders>
              <w:top w:val="single" w:sz="4" w:space="0" w:color="auto"/>
            </w:tcBorders>
          </w:tcPr>
          <w:p w14:paraId="4D71D490" w14:textId="0F3FA341" w:rsidR="00C67F4B" w:rsidRPr="00D06395" w:rsidRDefault="00C67F4B" w:rsidP="00BC4C56">
            <w:pPr>
              <w:rPr>
                <w:rFonts w:ascii="Mona Sans" w:hAnsi="Mona Sans"/>
                <w:b/>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321C3E" w:rsidRPr="00D06395">
              <w:rPr>
                <w:rFonts w:ascii="Mona Sans" w:hAnsi="Mona Sans"/>
                <w:b/>
                <w:sz w:val="20"/>
                <w:szCs w:val="20"/>
              </w:rPr>
              <w:br/>
            </w:r>
            <w:r w:rsidR="008E04FC" w:rsidRPr="008E04FC">
              <w:rPr>
                <w:rFonts w:ascii="Mona Sans" w:hAnsi="Mona Sans"/>
                <w:sz w:val="20"/>
                <w:szCs w:val="20"/>
                <w:highlight w:val="yellow"/>
              </w:rPr>
              <w:t>XXX</w:t>
            </w:r>
            <w:r w:rsidR="00900DF5" w:rsidRPr="00D06395">
              <w:rPr>
                <w:rFonts w:ascii="Mona Sans" w:hAnsi="Mona Sans"/>
                <w:sz w:val="20"/>
                <w:szCs w:val="20"/>
              </w:rPr>
              <w:t xml:space="preserve"> </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74F6AEB5" w14:textId="19E7C870" w:rsidR="006340D1" w:rsidRPr="00D06395" w:rsidRDefault="009F6AC9" w:rsidP="003E59C2">
            <w:pPr>
              <w:rPr>
                <w:rFonts w:ascii="Mona Sans" w:hAnsi="Mona Sans"/>
                <w:sz w:val="20"/>
                <w:szCs w:val="20"/>
              </w:rPr>
            </w:pPr>
            <w:r w:rsidRPr="00D06395">
              <w:rPr>
                <w:rFonts w:ascii="Mona Sans" w:hAnsi="Mona Sans"/>
                <w:sz w:val="20"/>
                <w:szCs w:val="20"/>
                <w:highlight w:val="yellow"/>
              </w:rPr>
              <w:t>TBC</w:t>
            </w: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1766CED6" w:rsidR="004C729B" w:rsidRPr="00D06395" w:rsidRDefault="00015AB3" w:rsidP="00EA50C8">
            <w:pPr>
              <w:rPr>
                <w:rFonts w:ascii="Mona Sans" w:hAnsi="Mona Sans"/>
                <w:sz w:val="20"/>
                <w:szCs w:val="20"/>
              </w:rPr>
            </w:pPr>
            <w:r w:rsidRPr="00015AB3">
              <w:rPr>
                <w:rFonts w:ascii="Mona Sans" w:hAnsi="Mona Sans"/>
                <w:sz w:val="20"/>
                <w:szCs w:val="20"/>
              </w:rPr>
              <w:t xml:space="preserve">Comfortable clothing suitable for outdoor activity, along with </w:t>
            </w:r>
            <w:r w:rsidRPr="00015AB3">
              <w:rPr>
                <w:rFonts w:ascii="Mona Sans" w:hAnsi="Mona Sans"/>
                <w:b/>
                <w:bCs/>
                <w:sz w:val="20"/>
                <w:szCs w:val="20"/>
              </w:rPr>
              <w:t>sturdy trainers or closed-toe footwear</w:t>
            </w:r>
            <w:r w:rsidRPr="00015AB3">
              <w:rPr>
                <w:rFonts w:ascii="Mona Sans" w:hAnsi="Mona Sans"/>
                <w:sz w:val="20"/>
                <w:szCs w:val="20"/>
              </w:rPr>
              <w:t>.</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t>Please bring</w:t>
            </w:r>
          </w:p>
        </w:tc>
        <w:tc>
          <w:tcPr>
            <w:tcW w:w="4313" w:type="pct"/>
            <w:gridSpan w:val="3"/>
          </w:tcPr>
          <w:p w14:paraId="07ADC0C3" w14:textId="0CAD706A" w:rsidR="002D2C02" w:rsidRPr="00D06395"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475B5C0F" w14:textId="77777777" w:rsidR="004414BA" w:rsidRPr="004414BA" w:rsidRDefault="004414BA" w:rsidP="004414BA">
            <w:pPr>
              <w:rPr>
                <w:rFonts w:ascii="Mona Sans" w:hAnsi="Mona Sans"/>
                <w:sz w:val="20"/>
                <w:szCs w:val="20"/>
              </w:rPr>
            </w:pPr>
            <w:r w:rsidRPr="004414BA">
              <w:rPr>
                <w:rFonts w:ascii="Mona Sans" w:hAnsi="Mona Sans"/>
                <w:b/>
                <w:bCs/>
                <w:sz w:val="20"/>
                <w:szCs w:val="20"/>
              </w:rPr>
              <w:t>NOTE(s)</w:t>
            </w:r>
          </w:p>
          <w:p w14:paraId="16E77841" w14:textId="77777777" w:rsidR="004414BA" w:rsidRPr="004414BA" w:rsidRDefault="004414BA" w:rsidP="004414BA">
            <w:pPr>
              <w:numPr>
                <w:ilvl w:val="0"/>
                <w:numId w:val="7"/>
              </w:numPr>
              <w:rPr>
                <w:rFonts w:ascii="Mona Sans" w:hAnsi="Mona Sans"/>
                <w:sz w:val="20"/>
                <w:szCs w:val="20"/>
              </w:rPr>
            </w:pPr>
            <w:r w:rsidRPr="004414BA">
              <w:rPr>
                <w:rFonts w:ascii="Mona Sans" w:hAnsi="Mona Sans"/>
                <w:sz w:val="20"/>
                <w:szCs w:val="20"/>
              </w:rPr>
              <w:t>Participants will be checked to ensure they have the appropriate permissions to take part in shooting activities.</w:t>
            </w:r>
          </w:p>
          <w:p w14:paraId="48FD100F" w14:textId="77777777" w:rsidR="004414BA" w:rsidRPr="004414BA" w:rsidRDefault="004414BA" w:rsidP="004414BA">
            <w:pPr>
              <w:numPr>
                <w:ilvl w:val="0"/>
                <w:numId w:val="7"/>
              </w:numPr>
              <w:rPr>
                <w:rFonts w:ascii="Mona Sans" w:hAnsi="Mona Sans"/>
                <w:sz w:val="20"/>
                <w:szCs w:val="20"/>
              </w:rPr>
            </w:pPr>
            <w:r w:rsidRPr="004414BA">
              <w:rPr>
                <w:rFonts w:ascii="Mona Sans" w:hAnsi="Mona Sans"/>
                <w:sz w:val="20"/>
                <w:szCs w:val="20"/>
              </w:rPr>
              <w:t>Hovercrafts is a popular activity - participants and leaders might want to consider planning their visit and keeping a watchful eye on queues!</w:t>
            </w:r>
          </w:p>
          <w:p w14:paraId="484FC882" w14:textId="56B88807" w:rsidR="004414BA" w:rsidRDefault="004414BA" w:rsidP="004D6DD3">
            <w:pPr>
              <w:rPr>
                <w:rFonts w:ascii="Mona Sans" w:hAnsi="Mona Sans"/>
                <w:sz w:val="20"/>
                <w:szCs w:val="20"/>
              </w:rPr>
            </w:pPr>
            <w:r>
              <w:rPr>
                <w:rFonts w:ascii="Mona Sans" w:hAnsi="Mona Sans"/>
                <w:sz w:val="20"/>
                <w:szCs w:val="20"/>
              </w:rPr>
              <w:t>----</w:t>
            </w:r>
          </w:p>
          <w:p w14:paraId="03194C31" w14:textId="622F36A2"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77777777" w:rsidR="004D6DD3" w:rsidRPr="00D06395" w:rsidRDefault="004D6DD3" w:rsidP="004D6DD3">
            <w:pPr>
              <w:rPr>
                <w:rFonts w:ascii="Mona Sans" w:hAnsi="Mona Sans"/>
                <w:sz w:val="20"/>
                <w:szCs w:val="20"/>
              </w:rPr>
            </w:pPr>
            <w:r w:rsidRPr="00D06395">
              <w:rPr>
                <w:rFonts w:ascii="Mona Sans" w:hAnsi="Mona Sans"/>
                <w:sz w:val="20"/>
                <w:szCs w:val="20"/>
              </w:rPr>
              <w:t>We recognise that there will be busy periods where your focus is fully on supervising and supporting your young people. Equally, there will be times when they are fully engaged in activities, giving you a chance to step in, get involved, and support the zone delivery.</w:t>
            </w:r>
          </w:p>
          <w:p w14:paraId="1986C94F" w14:textId="77777777" w:rsidR="00F42C7F" w:rsidRPr="002F400A" w:rsidRDefault="004D6DD3" w:rsidP="00F42C7F">
            <w:pPr>
              <w:rPr>
                <w:rFonts w:ascii="Mona Sans" w:hAnsi="Mona Sans"/>
                <w:sz w:val="20"/>
                <w:szCs w:val="20"/>
              </w:rPr>
            </w:pPr>
            <w:r w:rsidRPr="00D06395">
              <w:rPr>
                <w:rFonts w:ascii="Mona Sans" w:hAnsi="Mona Sans"/>
                <w:sz w:val="20"/>
                <w:szCs w:val="20"/>
              </w:rPr>
              <w:t xml:space="preserve">To ensure all activities can run at full capacity throughout the event, leaders are asked to support delivery within zones. This is a great chance to get involved, have fun, and help create a fantastic experience for all participants. </w:t>
            </w:r>
            <w:r w:rsidR="00F42C7F" w:rsidRPr="00D06395">
              <w:rPr>
                <w:rFonts w:ascii="Mona Sans" w:hAnsi="Mona Sans"/>
                <w:sz w:val="20"/>
                <w:szCs w:val="20"/>
              </w:rPr>
              <w:t>Please use the link below to sign up and support the zone of your choice.</w:t>
            </w:r>
          </w:p>
          <w:p w14:paraId="571EF43C" w14:textId="62E5946B" w:rsidR="00E06557" w:rsidRPr="00D06395" w:rsidRDefault="00F42C7F" w:rsidP="00F42C7F">
            <w:pPr>
              <w:spacing w:after="0"/>
              <w:rPr>
                <w:rFonts w:ascii="Mona Sans" w:hAnsi="Mona Sans"/>
                <w:sz w:val="20"/>
                <w:szCs w:val="20"/>
              </w:rPr>
            </w:pPr>
            <w:hyperlink r:id="rId11" w:history="1">
              <w:r w:rsidRPr="002F400A">
                <w:rPr>
                  <w:rStyle w:val="Hyperlink"/>
                  <w:rFonts w:ascii="Apple Color Emoji" w:hAnsi="Apple Color Emoji" w:cs="Apple Color Emoji"/>
                  <w:sz w:val="20"/>
                  <w:szCs w:val="20"/>
                </w:rPr>
                <w:t>🦁</w:t>
              </w:r>
              <w:r w:rsidRPr="002F400A">
                <w:rPr>
                  <w:rStyle w:val="Hyperlink"/>
                  <w:sz w:val="20"/>
                  <w:szCs w:val="20"/>
                </w:rPr>
                <w:t xml:space="preserve"> Chamboree 2026 – Zone Support Sign-Up – Fill out form</w:t>
              </w:r>
            </w:hyperlink>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EFB8" w14:textId="77777777" w:rsidR="00027783" w:rsidRDefault="00027783" w:rsidP="00D34EBA">
      <w:pPr>
        <w:spacing w:after="0" w:line="240" w:lineRule="auto"/>
      </w:pPr>
      <w:r>
        <w:separator/>
      </w:r>
    </w:p>
  </w:endnote>
  <w:endnote w:type="continuationSeparator" w:id="0">
    <w:p w14:paraId="43219631" w14:textId="77777777" w:rsidR="00027783" w:rsidRDefault="00027783"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4E4A" w14:textId="77777777" w:rsidR="00027783" w:rsidRDefault="00027783" w:rsidP="00D34EBA">
      <w:pPr>
        <w:spacing w:after="0" w:line="240" w:lineRule="auto"/>
      </w:pPr>
      <w:r>
        <w:separator/>
      </w:r>
    </w:p>
  </w:footnote>
  <w:footnote w:type="continuationSeparator" w:id="0">
    <w:p w14:paraId="0C434697" w14:textId="77777777" w:rsidR="00027783" w:rsidRDefault="00027783"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149FB"/>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56181"/>
    <w:multiLevelType w:val="multilevel"/>
    <w:tmpl w:val="B446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6534378">
    <w:abstractNumId w:val="6"/>
  </w:num>
  <w:num w:numId="2" w16cid:durableId="1503813699">
    <w:abstractNumId w:val="0"/>
  </w:num>
  <w:num w:numId="3" w16cid:durableId="567769504">
    <w:abstractNumId w:val="2"/>
  </w:num>
  <w:num w:numId="4" w16cid:durableId="540630733">
    <w:abstractNumId w:val="5"/>
  </w:num>
  <w:num w:numId="5" w16cid:durableId="1765613576">
    <w:abstractNumId w:val="1"/>
  </w:num>
  <w:num w:numId="6" w16cid:durableId="1882554093">
    <w:abstractNumId w:val="3"/>
  </w:num>
  <w:num w:numId="7" w16cid:durableId="79856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08F6"/>
    <w:rsid w:val="0001481A"/>
    <w:rsid w:val="00015AB3"/>
    <w:rsid w:val="00027783"/>
    <w:rsid w:val="000531A3"/>
    <w:rsid w:val="00095E69"/>
    <w:rsid w:val="000B327A"/>
    <w:rsid w:val="000B5A6F"/>
    <w:rsid w:val="000B6E89"/>
    <w:rsid w:val="000C3331"/>
    <w:rsid w:val="000D12EE"/>
    <w:rsid w:val="000E132F"/>
    <w:rsid w:val="000E5307"/>
    <w:rsid w:val="0010512D"/>
    <w:rsid w:val="00123FFE"/>
    <w:rsid w:val="00132990"/>
    <w:rsid w:val="00194069"/>
    <w:rsid w:val="001F7064"/>
    <w:rsid w:val="00215BB1"/>
    <w:rsid w:val="00223363"/>
    <w:rsid w:val="002728E3"/>
    <w:rsid w:val="002A42DD"/>
    <w:rsid w:val="002C29D0"/>
    <w:rsid w:val="002C2A69"/>
    <w:rsid w:val="002C7AF3"/>
    <w:rsid w:val="002D2C02"/>
    <w:rsid w:val="002D69A1"/>
    <w:rsid w:val="002E48C5"/>
    <w:rsid w:val="002F5BD9"/>
    <w:rsid w:val="002F5D9C"/>
    <w:rsid w:val="003200C4"/>
    <w:rsid w:val="00321C3E"/>
    <w:rsid w:val="003519B2"/>
    <w:rsid w:val="00362992"/>
    <w:rsid w:val="00367857"/>
    <w:rsid w:val="00387789"/>
    <w:rsid w:val="003A0A15"/>
    <w:rsid w:val="003A28EE"/>
    <w:rsid w:val="003B0DC6"/>
    <w:rsid w:val="003B10D1"/>
    <w:rsid w:val="003C6A29"/>
    <w:rsid w:val="003D7516"/>
    <w:rsid w:val="003E59C2"/>
    <w:rsid w:val="004049D3"/>
    <w:rsid w:val="004268FC"/>
    <w:rsid w:val="004414BA"/>
    <w:rsid w:val="004465D8"/>
    <w:rsid w:val="004754E8"/>
    <w:rsid w:val="004869E7"/>
    <w:rsid w:val="00493E17"/>
    <w:rsid w:val="004B21AD"/>
    <w:rsid w:val="004C0915"/>
    <w:rsid w:val="004C0B2B"/>
    <w:rsid w:val="004C34E0"/>
    <w:rsid w:val="004C729B"/>
    <w:rsid w:val="004D6DD3"/>
    <w:rsid w:val="005042F5"/>
    <w:rsid w:val="00506B6E"/>
    <w:rsid w:val="00523E32"/>
    <w:rsid w:val="00525E24"/>
    <w:rsid w:val="00560BB2"/>
    <w:rsid w:val="00563E8F"/>
    <w:rsid w:val="00576621"/>
    <w:rsid w:val="00585989"/>
    <w:rsid w:val="005A7A39"/>
    <w:rsid w:val="005B4835"/>
    <w:rsid w:val="005C1C97"/>
    <w:rsid w:val="005F2D09"/>
    <w:rsid w:val="005F566A"/>
    <w:rsid w:val="00623E64"/>
    <w:rsid w:val="0062795A"/>
    <w:rsid w:val="0063097E"/>
    <w:rsid w:val="006340D1"/>
    <w:rsid w:val="006400B0"/>
    <w:rsid w:val="00646019"/>
    <w:rsid w:val="00652545"/>
    <w:rsid w:val="00667E3D"/>
    <w:rsid w:val="006767F1"/>
    <w:rsid w:val="006B6E10"/>
    <w:rsid w:val="006C0188"/>
    <w:rsid w:val="006C2C94"/>
    <w:rsid w:val="006C48B9"/>
    <w:rsid w:val="006C7988"/>
    <w:rsid w:val="00703C41"/>
    <w:rsid w:val="00736203"/>
    <w:rsid w:val="00746E58"/>
    <w:rsid w:val="007673C0"/>
    <w:rsid w:val="00795916"/>
    <w:rsid w:val="007A3D46"/>
    <w:rsid w:val="007B4974"/>
    <w:rsid w:val="007E789F"/>
    <w:rsid w:val="007F234D"/>
    <w:rsid w:val="0080330E"/>
    <w:rsid w:val="008244E0"/>
    <w:rsid w:val="00826750"/>
    <w:rsid w:val="00840B02"/>
    <w:rsid w:val="00874923"/>
    <w:rsid w:val="008820BE"/>
    <w:rsid w:val="00887B5B"/>
    <w:rsid w:val="008A73ED"/>
    <w:rsid w:val="008E04FC"/>
    <w:rsid w:val="008E608E"/>
    <w:rsid w:val="008E62E6"/>
    <w:rsid w:val="00900DF5"/>
    <w:rsid w:val="00905361"/>
    <w:rsid w:val="00925EBC"/>
    <w:rsid w:val="009352BA"/>
    <w:rsid w:val="009718C2"/>
    <w:rsid w:val="0097262C"/>
    <w:rsid w:val="0097544A"/>
    <w:rsid w:val="0098465F"/>
    <w:rsid w:val="00985537"/>
    <w:rsid w:val="009A0903"/>
    <w:rsid w:val="009A1998"/>
    <w:rsid w:val="009F6AC9"/>
    <w:rsid w:val="00A17517"/>
    <w:rsid w:val="00A22C1B"/>
    <w:rsid w:val="00A464EE"/>
    <w:rsid w:val="00A92774"/>
    <w:rsid w:val="00AD408F"/>
    <w:rsid w:val="00B12D41"/>
    <w:rsid w:val="00B26D6E"/>
    <w:rsid w:val="00B55C1C"/>
    <w:rsid w:val="00B8186C"/>
    <w:rsid w:val="00BA160A"/>
    <w:rsid w:val="00BB3220"/>
    <w:rsid w:val="00BC4C56"/>
    <w:rsid w:val="00BE0969"/>
    <w:rsid w:val="00BE76A0"/>
    <w:rsid w:val="00C06FD0"/>
    <w:rsid w:val="00C140FF"/>
    <w:rsid w:val="00C369E8"/>
    <w:rsid w:val="00C521AD"/>
    <w:rsid w:val="00C67F4B"/>
    <w:rsid w:val="00C76005"/>
    <w:rsid w:val="00CC4B57"/>
    <w:rsid w:val="00CD1B63"/>
    <w:rsid w:val="00D06395"/>
    <w:rsid w:val="00D34EBA"/>
    <w:rsid w:val="00D35250"/>
    <w:rsid w:val="00D5162F"/>
    <w:rsid w:val="00D5363A"/>
    <w:rsid w:val="00D566A3"/>
    <w:rsid w:val="00D82658"/>
    <w:rsid w:val="00D95B49"/>
    <w:rsid w:val="00DB7057"/>
    <w:rsid w:val="00DD41EA"/>
    <w:rsid w:val="00DF0769"/>
    <w:rsid w:val="00DF10C5"/>
    <w:rsid w:val="00DF7B43"/>
    <w:rsid w:val="00E06557"/>
    <w:rsid w:val="00E173E5"/>
    <w:rsid w:val="00E32839"/>
    <w:rsid w:val="00E715D1"/>
    <w:rsid w:val="00E74D26"/>
    <w:rsid w:val="00E80222"/>
    <w:rsid w:val="00E84195"/>
    <w:rsid w:val="00E9534B"/>
    <w:rsid w:val="00EA50C8"/>
    <w:rsid w:val="00ED1E8F"/>
    <w:rsid w:val="00EE3F1F"/>
    <w:rsid w:val="00EF038B"/>
    <w:rsid w:val="00F03C73"/>
    <w:rsid w:val="00F06057"/>
    <w:rsid w:val="00F11E75"/>
    <w:rsid w:val="00F14A29"/>
    <w:rsid w:val="00F1542B"/>
    <w:rsid w:val="00F2779D"/>
    <w:rsid w:val="00F42C7F"/>
    <w:rsid w:val="00F44036"/>
    <w:rsid w:val="00F74445"/>
    <w:rsid w:val="00F85B6B"/>
    <w:rsid w:val="00F9217A"/>
    <w:rsid w:val="00FA56E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fcxYANJi1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Props1.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2.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4.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30</cp:revision>
  <dcterms:created xsi:type="dcterms:W3CDTF">2026-04-27T20:49:00Z</dcterms:created>
  <dcterms:modified xsi:type="dcterms:W3CDTF">2026-05-07T11:42:00Z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