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3"/>
        <w:gridCol w:w="2877"/>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3ED2A903" w:rsidR="00746E58" w:rsidRPr="00D06395" w:rsidRDefault="00F324DC" w:rsidP="0063097E">
            <w:pPr>
              <w:rPr>
                <w:rFonts w:ascii="Mona Sans" w:hAnsi="Mona Sans"/>
                <w:b/>
                <w:sz w:val="20"/>
                <w:szCs w:val="20"/>
              </w:rPr>
            </w:pPr>
            <w:r>
              <w:rPr>
                <w:rFonts w:ascii="Mona Sans" w:hAnsi="Mona Sans"/>
                <w:b/>
                <w:sz w:val="20"/>
                <w:szCs w:val="20"/>
              </w:rPr>
              <w:t>Conquer</w:t>
            </w:r>
            <w:r w:rsidR="00C06FD0" w:rsidRPr="00D06395">
              <w:rPr>
                <w:rFonts w:ascii="Mona Sans" w:hAnsi="Mona Sans"/>
                <w:b/>
                <w:sz w:val="20"/>
                <w:szCs w:val="20"/>
              </w:rPr>
              <w:t xml:space="preserve"> (</w:t>
            </w:r>
            <w:r>
              <w:rPr>
                <w:rFonts w:ascii="Mona Sans" w:hAnsi="Mona Sans"/>
                <w:b/>
                <w:sz w:val="20"/>
                <w:szCs w:val="20"/>
              </w:rPr>
              <w:t>Adventure</w:t>
            </w:r>
            <w:r w:rsidR="00C06FD0" w:rsidRPr="00D06395">
              <w:rPr>
                <w:rFonts w:ascii="Mona Sans" w:hAnsi="Mona Sans"/>
                <w:b/>
                <w:sz w:val="20"/>
                <w:szCs w:val="20"/>
              </w:rPr>
              <w:t>)</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322F58A7" w14:textId="77777777" w:rsidR="00F324DC" w:rsidRPr="00F324DC" w:rsidRDefault="00F324DC" w:rsidP="00F324DC">
            <w:pPr>
              <w:pStyle w:val="NormalWeb"/>
              <w:rPr>
                <w:rFonts w:ascii="Mona Sans" w:hAnsi="Mona Sans" w:cs="Arial"/>
                <w:bCs/>
                <w:sz w:val="20"/>
                <w:szCs w:val="20"/>
              </w:rPr>
            </w:pPr>
            <w:r w:rsidRPr="00F324DC">
              <w:rPr>
                <w:rFonts w:ascii="Mona Sans" w:hAnsi="Mona Sans" w:cs="Arial"/>
                <w:bCs/>
                <w:sz w:val="20"/>
                <w:szCs w:val="20"/>
              </w:rPr>
              <w:t>A high-energy adventure zone where participants can push their limits and take on a wide range of physical and mental challenges. Inspired by the determination of the mountain goat, this zone focuses on building confidence through climbing, balance, movement, and exploration.</w:t>
            </w:r>
          </w:p>
          <w:p w14:paraId="75CA1049" w14:textId="7AC9FE57" w:rsidR="00746E58" w:rsidRPr="00D06395" w:rsidRDefault="00746E58" w:rsidP="003D7516">
            <w:pPr>
              <w:pStyle w:val="NormalWeb"/>
              <w:rPr>
                <w:rFonts w:ascii="Mona Sans" w:hAnsi="Mona Sans" w:cs="Arial"/>
                <w:bCs/>
                <w:sz w:val="20"/>
                <w:szCs w:val="20"/>
              </w:rPr>
            </w:pP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6A4A3D16" w14:textId="77777777" w:rsidR="004C07E8" w:rsidRPr="004C07E8" w:rsidRDefault="004C07E8" w:rsidP="004C07E8">
            <w:pPr>
              <w:spacing w:after="160" w:line="259" w:lineRule="auto"/>
              <w:rPr>
                <w:rFonts w:ascii="Mona Sans" w:hAnsi="Mona Sans"/>
                <w:sz w:val="20"/>
                <w:szCs w:val="20"/>
              </w:rPr>
            </w:pPr>
            <w:r w:rsidRPr="004C07E8">
              <w:rPr>
                <w:rFonts w:ascii="Mona Sans" w:hAnsi="Mona Sans"/>
                <w:sz w:val="20"/>
                <w:szCs w:val="20"/>
              </w:rPr>
              <w:t>Participants will take on a wide variety of adventurous activities including </w:t>
            </w:r>
            <w:r w:rsidRPr="004C07E8">
              <w:rPr>
                <w:rFonts w:ascii="Mona Sans" w:hAnsi="Mona Sans"/>
                <w:b/>
                <w:bCs/>
                <w:sz w:val="20"/>
                <w:szCs w:val="20"/>
              </w:rPr>
              <w:t>Quad Bikes</w:t>
            </w:r>
            <w:r w:rsidRPr="004C07E8">
              <w:rPr>
                <w:rFonts w:ascii="Mona Sans" w:hAnsi="Mona Sans"/>
                <w:sz w:val="20"/>
                <w:szCs w:val="20"/>
              </w:rPr>
              <w:t>, </w:t>
            </w:r>
            <w:r w:rsidRPr="004C07E8">
              <w:rPr>
                <w:rFonts w:ascii="Mona Sans" w:hAnsi="Mona Sans"/>
                <w:b/>
                <w:bCs/>
                <w:sz w:val="20"/>
                <w:szCs w:val="20"/>
              </w:rPr>
              <w:t>Climbing &amp; Abseil</w:t>
            </w:r>
            <w:r w:rsidRPr="004C07E8">
              <w:rPr>
                <w:rFonts w:ascii="Mona Sans" w:hAnsi="Mona Sans"/>
                <w:sz w:val="20"/>
                <w:szCs w:val="20"/>
              </w:rPr>
              <w:t>, </w:t>
            </w:r>
            <w:r w:rsidRPr="004C07E8">
              <w:rPr>
                <w:rFonts w:ascii="Mona Sans" w:hAnsi="Mona Sans"/>
                <w:b/>
                <w:bCs/>
                <w:sz w:val="20"/>
                <w:szCs w:val="20"/>
              </w:rPr>
              <w:t>Crate Stacking</w:t>
            </w:r>
            <w:r w:rsidRPr="004C07E8">
              <w:rPr>
                <w:rFonts w:ascii="Mona Sans" w:hAnsi="Mona Sans"/>
                <w:sz w:val="20"/>
                <w:szCs w:val="20"/>
              </w:rPr>
              <w:t>, and </w:t>
            </w:r>
            <w:proofErr w:type="spellStart"/>
            <w:r w:rsidRPr="004C07E8">
              <w:rPr>
                <w:rFonts w:ascii="Mona Sans" w:hAnsi="Mona Sans"/>
                <w:b/>
                <w:bCs/>
                <w:sz w:val="20"/>
                <w:szCs w:val="20"/>
              </w:rPr>
              <w:t>Prussiking</w:t>
            </w:r>
            <w:proofErr w:type="spellEnd"/>
            <w:r w:rsidRPr="004C07E8">
              <w:rPr>
                <w:rFonts w:ascii="Mona Sans" w:hAnsi="Mona Sans"/>
                <w:sz w:val="20"/>
                <w:szCs w:val="20"/>
              </w:rPr>
              <w:t>, alongside high-energy experiences like </w:t>
            </w:r>
            <w:r w:rsidRPr="004C07E8">
              <w:rPr>
                <w:rFonts w:ascii="Mona Sans" w:hAnsi="Mona Sans"/>
                <w:b/>
                <w:bCs/>
                <w:sz w:val="20"/>
                <w:szCs w:val="20"/>
              </w:rPr>
              <w:t>Zipline</w:t>
            </w:r>
            <w:r w:rsidRPr="004C07E8">
              <w:rPr>
                <w:rFonts w:ascii="Mona Sans" w:hAnsi="Mona Sans"/>
                <w:sz w:val="20"/>
                <w:szCs w:val="20"/>
              </w:rPr>
              <w:t>, </w:t>
            </w:r>
            <w:r w:rsidRPr="004C07E8">
              <w:rPr>
                <w:rFonts w:ascii="Mona Sans" w:hAnsi="Mona Sans"/>
                <w:b/>
                <w:bCs/>
                <w:sz w:val="20"/>
                <w:szCs w:val="20"/>
              </w:rPr>
              <w:t>Segways</w:t>
            </w:r>
            <w:r w:rsidRPr="004C07E8">
              <w:rPr>
                <w:rFonts w:ascii="Mona Sans" w:hAnsi="Mona Sans"/>
                <w:sz w:val="20"/>
                <w:szCs w:val="20"/>
              </w:rPr>
              <w:t>, and </w:t>
            </w:r>
            <w:r w:rsidRPr="004C07E8">
              <w:rPr>
                <w:rFonts w:ascii="Mona Sans" w:hAnsi="Mona Sans"/>
                <w:b/>
                <w:bCs/>
                <w:sz w:val="20"/>
                <w:szCs w:val="20"/>
              </w:rPr>
              <w:t>Land Yachts</w:t>
            </w:r>
            <w:r w:rsidRPr="004C07E8">
              <w:rPr>
                <w:rFonts w:ascii="Mona Sans" w:hAnsi="Mona Sans"/>
                <w:sz w:val="20"/>
                <w:szCs w:val="20"/>
              </w:rPr>
              <w:t>. Balance and coordination come into play with </w:t>
            </w:r>
            <w:r w:rsidRPr="004C07E8">
              <w:rPr>
                <w:rFonts w:ascii="Mona Sans" w:hAnsi="Mona Sans"/>
                <w:b/>
                <w:bCs/>
                <w:sz w:val="20"/>
                <w:szCs w:val="20"/>
              </w:rPr>
              <w:t>Slacklines</w:t>
            </w:r>
            <w:r w:rsidRPr="004C07E8">
              <w:rPr>
                <w:rFonts w:ascii="Mona Sans" w:hAnsi="Mona Sans"/>
                <w:sz w:val="20"/>
                <w:szCs w:val="20"/>
              </w:rPr>
              <w:t>, while </w:t>
            </w:r>
            <w:r w:rsidRPr="004C07E8">
              <w:rPr>
                <w:rFonts w:ascii="Mona Sans" w:hAnsi="Mona Sans"/>
                <w:b/>
                <w:bCs/>
                <w:sz w:val="20"/>
                <w:szCs w:val="20"/>
              </w:rPr>
              <w:t>Bouldering</w:t>
            </w:r>
            <w:r w:rsidRPr="004C07E8">
              <w:rPr>
                <w:rFonts w:ascii="Mona Sans" w:hAnsi="Mona Sans"/>
                <w:sz w:val="20"/>
                <w:szCs w:val="20"/>
              </w:rPr>
              <w:t> and </w:t>
            </w:r>
            <w:r w:rsidRPr="004C07E8">
              <w:rPr>
                <w:rFonts w:ascii="Mona Sans" w:hAnsi="Mona Sans"/>
                <w:b/>
                <w:bCs/>
                <w:sz w:val="20"/>
                <w:szCs w:val="20"/>
              </w:rPr>
              <w:t>Mobile High Ropes</w:t>
            </w:r>
            <w:r w:rsidRPr="004C07E8">
              <w:rPr>
                <w:rFonts w:ascii="Mona Sans" w:hAnsi="Mona Sans"/>
                <w:sz w:val="20"/>
                <w:szCs w:val="20"/>
              </w:rPr>
              <w:t> offer different ways to test strength and confidence at height.</w:t>
            </w:r>
          </w:p>
          <w:p w14:paraId="1D9774EF" w14:textId="2C1D8659" w:rsidR="000B327A" w:rsidRPr="00D06395" w:rsidRDefault="004C07E8" w:rsidP="003D7516">
            <w:pPr>
              <w:spacing w:after="160" w:line="259" w:lineRule="auto"/>
              <w:rPr>
                <w:rFonts w:ascii="Mona Sans" w:hAnsi="Mona Sans"/>
                <w:sz w:val="20"/>
                <w:szCs w:val="20"/>
              </w:rPr>
            </w:pPr>
            <w:r w:rsidRPr="004C07E8">
              <w:rPr>
                <w:rFonts w:ascii="Mona Sans" w:hAnsi="Mona Sans"/>
                <w:sz w:val="20"/>
                <w:szCs w:val="20"/>
              </w:rPr>
              <w:t>Exploration and problem-solving are key through </w:t>
            </w:r>
            <w:r w:rsidRPr="004C07E8">
              <w:rPr>
                <w:rFonts w:ascii="Mona Sans" w:hAnsi="Mona Sans"/>
                <w:b/>
                <w:bCs/>
                <w:sz w:val="20"/>
                <w:szCs w:val="20"/>
              </w:rPr>
              <w:t>Orienteering</w:t>
            </w:r>
            <w:r w:rsidRPr="004C07E8">
              <w:rPr>
                <w:rFonts w:ascii="Mona Sans" w:hAnsi="Mona Sans"/>
                <w:sz w:val="20"/>
                <w:szCs w:val="20"/>
              </w:rPr>
              <w:t> and </w:t>
            </w:r>
            <w:r w:rsidRPr="004C07E8">
              <w:rPr>
                <w:rFonts w:ascii="Mona Sans" w:hAnsi="Mona Sans"/>
                <w:b/>
                <w:bCs/>
                <w:sz w:val="20"/>
                <w:szCs w:val="20"/>
              </w:rPr>
              <w:t>Caving</w:t>
            </w:r>
            <w:r w:rsidRPr="004C07E8">
              <w:rPr>
                <w:rFonts w:ascii="Mona Sans" w:hAnsi="Mona Sans"/>
                <w:sz w:val="20"/>
                <w:szCs w:val="20"/>
              </w:rPr>
              <w:t>, while </w:t>
            </w:r>
            <w:r w:rsidRPr="004C07E8">
              <w:rPr>
                <w:rFonts w:ascii="Mona Sans" w:hAnsi="Mona Sans"/>
                <w:b/>
                <w:bCs/>
                <w:sz w:val="20"/>
                <w:szCs w:val="20"/>
              </w:rPr>
              <w:t xml:space="preserve">Inflatable </w:t>
            </w:r>
            <w:proofErr w:type="spellStart"/>
            <w:r w:rsidRPr="004C07E8">
              <w:rPr>
                <w:rFonts w:ascii="Mona Sans" w:hAnsi="Mona Sans"/>
                <w:b/>
                <w:bCs/>
                <w:sz w:val="20"/>
                <w:szCs w:val="20"/>
              </w:rPr>
              <w:t>Zorbs</w:t>
            </w:r>
            <w:proofErr w:type="spellEnd"/>
            <w:r w:rsidRPr="004C07E8">
              <w:rPr>
                <w:rFonts w:ascii="Mona Sans" w:hAnsi="Mona Sans"/>
                <w:b/>
                <w:bCs/>
                <w:sz w:val="20"/>
                <w:szCs w:val="20"/>
              </w:rPr>
              <w:t xml:space="preserve"> Kris Kross</w:t>
            </w:r>
            <w:r w:rsidRPr="004C07E8">
              <w:rPr>
                <w:rFonts w:ascii="Mona Sans" w:hAnsi="Mona Sans"/>
                <w:sz w:val="20"/>
                <w:szCs w:val="20"/>
              </w:rPr>
              <w:t> adds a more playful challenge. For something a little different, participants can experience </w:t>
            </w:r>
            <w:r w:rsidRPr="004C07E8">
              <w:rPr>
                <w:rFonts w:ascii="Mona Sans" w:hAnsi="Mona Sans"/>
                <w:b/>
                <w:bCs/>
                <w:sz w:val="20"/>
                <w:szCs w:val="20"/>
              </w:rPr>
              <w:t>Tree Tents</w:t>
            </w:r>
            <w:r w:rsidRPr="004C07E8">
              <w:rPr>
                <w:rFonts w:ascii="Mona Sans" w:hAnsi="Mona Sans"/>
                <w:sz w:val="20"/>
                <w:szCs w:val="20"/>
              </w:rPr>
              <w:t>, offering a unique perspective on adventure.</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57CECE46" w14:textId="0093FDAE" w:rsidR="003E59C2" w:rsidRPr="00D06395" w:rsidRDefault="006B6E10" w:rsidP="004465D8">
            <w:pPr>
              <w:rPr>
                <w:rFonts w:ascii="Mona Sans" w:hAnsi="Mona Sans"/>
                <w:b/>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B26D6E" w:rsidRPr="00D06395">
              <w:rPr>
                <w:rFonts w:ascii="Mona Sans" w:hAnsi="Mona Sans"/>
                <w:sz w:val="20"/>
                <w:szCs w:val="20"/>
                <w:highlight w:val="yellow"/>
              </w:rPr>
              <w:t>XXX</w:t>
            </w:r>
            <w:r w:rsidR="003E59C2" w:rsidRPr="00D06395">
              <w:rPr>
                <w:rFonts w:ascii="Mona Sans" w:hAnsi="Mona Sans"/>
                <w:bCs/>
                <w:sz w:val="20"/>
                <w:szCs w:val="20"/>
              </w:rPr>
              <w:br/>
            </w:r>
          </w:p>
        </w:tc>
        <w:tc>
          <w:tcPr>
            <w:tcW w:w="1435" w:type="pct"/>
            <w:tcBorders>
              <w:top w:val="single" w:sz="4" w:space="0" w:color="auto"/>
            </w:tcBorders>
          </w:tcPr>
          <w:p w14:paraId="33CC342A" w14:textId="25A8E3DF" w:rsidR="00132990" w:rsidRPr="00D06395" w:rsidRDefault="00C67F4B" w:rsidP="00506B6E">
            <w:pPr>
              <w:rPr>
                <w:rFonts w:ascii="Mona Sans" w:hAnsi="Mona Sans"/>
                <w:b/>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B26D6E" w:rsidRPr="00D06395">
              <w:rPr>
                <w:rFonts w:ascii="Mona Sans" w:hAnsi="Mona Sans"/>
                <w:sz w:val="20"/>
                <w:szCs w:val="20"/>
                <w:highlight w:val="yellow"/>
              </w:rPr>
              <w:t>XXX</w:t>
            </w:r>
          </w:p>
        </w:tc>
        <w:tc>
          <w:tcPr>
            <w:tcW w:w="1438" w:type="pct"/>
            <w:tcBorders>
              <w:top w:val="single" w:sz="4" w:space="0" w:color="auto"/>
            </w:tcBorders>
          </w:tcPr>
          <w:p w14:paraId="4D71D490" w14:textId="740C0DFF" w:rsidR="00C67F4B" w:rsidRPr="00D06395" w:rsidRDefault="00C67F4B" w:rsidP="00BC4C56">
            <w:pPr>
              <w:rPr>
                <w:rFonts w:ascii="Mona Sans" w:hAnsi="Mona Sans"/>
                <w:b/>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321C3E" w:rsidRPr="00D06395">
              <w:rPr>
                <w:rFonts w:ascii="Mona Sans" w:hAnsi="Mona Sans"/>
                <w:b/>
                <w:sz w:val="20"/>
                <w:szCs w:val="20"/>
              </w:rPr>
              <w:br/>
            </w:r>
            <w:r w:rsidR="004C07E8" w:rsidRPr="004C07E8">
              <w:rPr>
                <w:rFonts w:ascii="Mona Sans" w:hAnsi="Mona Sans"/>
                <w:sz w:val="20"/>
                <w:szCs w:val="20"/>
                <w:highlight w:val="yellow"/>
              </w:rPr>
              <w:t>XXX</w:t>
            </w:r>
            <w:r w:rsidR="00900DF5" w:rsidRPr="00D06395">
              <w:rPr>
                <w:rFonts w:ascii="Mona Sans" w:hAnsi="Mona Sans"/>
                <w:sz w:val="20"/>
                <w:szCs w:val="20"/>
              </w:rPr>
              <w:t xml:space="preserve"> </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74F6AEB5" w14:textId="19E7C870" w:rsidR="006340D1" w:rsidRPr="00D06395" w:rsidRDefault="009F6AC9" w:rsidP="003E59C2">
            <w:pPr>
              <w:rPr>
                <w:rFonts w:ascii="Mona Sans" w:hAnsi="Mona Sans"/>
                <w:sz w:val="20"/>
                <w:szCs w:val="20"/>
              </w:rPr>
            </w:pPr>
            <w:r w:rsidRPr="00D06395">
              <w:rPr>
                <w:rFonts w:ascii="Mona Sans" w:hAnsi="Mona Sans"/>
                <w:sz w:val="20"/>
                <w:szCs w:val="20"/>
                <w:highlight w:val="yellow"/>
              </w:rPr>
              <w:t>TBC</w:t>
            </w: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567C1AC7" w:rsidR="004C729B" w:rsidRPr="00D06395" w:rsidRDefault="00667E3D" w:rsidP="00EA50C8">
            <w:pPr>
              <w:rPr>
                <w:rFonts w:ascii="Mona Sans" w:hAnsi="Mona Sans"/>
                <w:sz w:val="20"/>
                <w:szCs w:val="20"/>
              </w:rPr>
            </w:pPr>
            <w:r w:rsidRPr="00D06395">
              <w:rPr>
                <w:rFonts w:ascii="Mona Sans" w:hAnsi="Mona Sans"/>
                <w:sz w:val="20"/>
                <w:szCs w:val="20"/>
              </w:rPr>
              <w:t>Comfortable sportswear suitable for active participation, along with sturdy trainers or closed-toe footwear.</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t>Please bring</w:t>
            </w:r>
          </w:p>
        </w:tc>
        <w:tc>
          <w:tcPr>
            <w:tcW w:w="4313" w:type="pct"/>
            <w:gridSpan w:val="3"/>
          </w:tcPr>
          <w:p w14:paraId="07ADC0C3" w14:textId="0CAD706A" w:rsidR="002D2C02" w:rsidRPr="00D06395"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03194C31" w14:textId="77777777"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77777777" w:rsidR="004D6DD3" w:rsidRPr="00D06395" w:rsidRDefault="004D6DD3" w:rsidP="004D6DD3">
            <w:pPr>
              <w:rPr>
                <w:rFonts w:ascii="Mona Sans" w:hAnsi="Mona Sans"/>
                <w:sz w:val="20"/>
                <w:szCs w:val="20"/>
              </w:rPr>
            </w:pPr>
            <w:r w:rsidRPr="00D06395">
              <w:rPr>
                <w:rFonts w:ascii="Mona Sans" w:hAnsi="Mona Sans"/>
                <w:sz w:val="20"/>
                <w:szCs w:val="20"/>
              </w:rPr>
              <w:t>We recognise that there will be busy periods where your focus is fully on supervising and supporting your young people. Equally, there will be times when they are fully engaged in activities, giving you a chance to step in, get involved, and support the zone delivery.</w:t>
            </w:r>
          </w:p>
          <w:p w14:paraId="3B339DE2" w14:textId="270EAB78" w:rsidR="004D6DD3" w:rsidRPr="00D06395" w:rsidRDefault="004D6DD3" w:rsidP="004D6DD3">
            <w:pPr>
              <w:rPr>
                <w:rFonts w:ascii="Mona Sans" w:hAnsi="Mona Sans"/>
                <w:sz w:val="20"/>
                <w:szCs w:val="20"/>
              </w:rPr>
            </w:pPr>
            <w:r w:rsidRPr="00D06395">
              <w:rPr>
                <w:rFonts w:ascii="Mona Sans" w:hAnsi="Mona Sans"/>
                <w:sz w:val="20"/>
                <w:szCs w:val="20"/>
              </w:rPr>
              <w:t xml:space="preserve">To ensure all activities can run at full capacity throughout the event, leaders are asked to support delivery within zones. This is a great chance to get involved, have fun, and help create a fantastic experience for all participants. Please use the link below to sign up and support </w:t>
            </w:r>
            <w:r w:rsidRPr="00D06395">
              <w:rPr>
                <w:rFonts w:ascii="Mona Sans" w:hAnsi="Mona Sans"/>
                <w:sz w:val="20"/>
                <w:szCs w:val="20"/>
              </w:rPr>
              <w:t>the zone of your choice</w:t>
            </w:r>
            <w:r w:rsidRPr="00D06395">
              <w:rPr>
                <w:rFonts w:ascii="Mona Sans" w:hAnsi="Mona Sans"/>
                <w:sz w:val="20"/>
                <w:szCs w:val="20"/>
              </w:rPr>
              <w:t>.</w:t>
            </w:r>
          </w:p>
          <w:p w14:paraId="571EF43C" w14:textId="1C100988" w:rsidR="00E06557" w:rsidRPr="00D06395" w:rsidRDefault="00E06557" w:rsidP="00D5363A">
            <w:pPr>
              <w:spacing w:after="0"/>
              <w:rPr>
                <w:rFonts w:ascii="Mona Sans" w:hAnsi="Mona Sans"/>
                <w:sz w:val="20"/>
                <w:szCs w:val="20"/>
              </w:rPr>
            </w:pPr>
            <w:hyperlink r:id="rId11" w:history="1">
              <w:r w:rsidR="00FD7501" w:rsidRPr="00D06395">
                <w:rPr>
                  <w:rStyle w:val="Hyperlink"/>
                  <w:rFonts w:ascii="Mona Sans" w:hAnsi="Mona Sans" w:cs="Segoe UI"/>
                  <w:sz w:val="20"/>
                  <w:szCs w:val="20"/>
                  <w:highlight w:val="yellow"/>
                  <w:shd w:val="clear" w:color="auto" w:fill="FFFFFF"/>
                </w:rPr>
                <w:t>Link</w:t>
              </w:r>
            </w:hyperlink>
            <w:r w:rsidR="00FD7501" w:rsidRPr="00D06395">
              <w:rPr>
                <w:rFonts w:ascii="Mona Sans" w:hAnsi="Mona Sans"/>
                <w:sz w:val="20"/>
                <w:szCs w:val="20"/>
                <w:highlight w:val="yellow"/>
              </w:rPr>
              <w:t xml:space="preserve"> to be updated.</w:t>
            </w:r>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DD49" w14:textId="77777777" w:rsidR="00CD0320" w:rsidRDefault="00CD0320" w:rsidP="00D34EBA">
      <w:pPr>
        <w:spacing w:after="0" w:line="240" w:lineRule="auto"/>
      </w:pPr>
      <w:r>
        <w:separator/>
      </w:r>
    </w:p>
  </w:endnote>
  <w:endnote w:type="continuationSeparator" w:id="0">
    <w:p w14:paraId="4262C049" w14:textId="77777777" w:rsidR="00CD0320" w:rsidRDefault="00CD0320"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9C2F" w14:textId="77777777" w:rsidR="00CD0320" w:rsidRDefault="00CD0320" w:rsidP="00D34EBA">
      <w:pPr>
        <w:spacing w:after="0" w:line="240" w:lineRule="auto"/>
      </w:pPr>
      <w:r>
        <w:separator/>
      </w:r>
    </w:p>
  </w:footnote>
  <w:footnote w:type="continuationSeparator" w:id="0">
    <w:p w14:paraId="05CE30B0" w14:textId="77777777" w:rsidR="00CD0320" w:rsidRDefault="00CD0320"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6534378">
    <w:abstractNumId w:val="4"/>
  </w:num>
  <w:num w:numId="2" w16cid:durableId="1503813699">
    <w:abstractNumId w:val="0"/>
  </w:num>
  <w:num w:numId="3" w16cid:durableId="567769504">
    <w:abstractNumId w:val="2"/>
  </w:num>
  <w:num w:numId="4" w16cid:durableId="540630733">
    <w:abstractNumId w:val="3"/>
  </w:num>
  <w:num w:numId="5" w16cid:durableId="176561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481A"/>
    <w:rsid w:val="000531A3"/>
    <w:rsid w:val="00095E69"/>
    <w:rsid w:val="000B327A"/>
    <w:rsid w:val="000B5A6F"/>
    <w:rsid w:val="000B6E89"/>
    <w:rsid w:val="000C3331"/>
    <w:rsid w:val="000E132F"/>
    <w:rsid w:val="000E5307"/>
    <w:rsid w:val="0010512D"/>
    <w:rsid w:val="00123FFE"/>
    <w:rsid w:val="00132990"/>
    <w:rsid w:val="00194069"/>
    <w:rsid w:val="001F7064"/>
    <w:rsid w:val="00215BB1"/>
    <w:rsid w:val="00223363"/>
    <w:rsid w:val="002728E3"/>
    <w:rsid w:val="002C29D0"/>
    <w:rsid w:val="002C2A69"/>
    <w:rsid w:val="002C7AF3"/>
    <w:rsid w:val="002D2C02"/>
    <w:rsid w:val="002D69A1"/>
    <w:rsid w:val="002E48C5"/>
    <w:rsid w:val="002F5BD9"/>
    <w:rsid w:val="002F5D9C"/>
    <w:rsid w:val="003200C4"/>
    <w:rsid w:val="00321C3E"/>
    <w:rsid w:val="003519B2"/>
    <w:rsid w:val="00362992"/>
    <w:rsid w:val="00367857"/>
    <w:rsid w:val="003A0A15"/>
    <w:rsid w:val="003A28EE"/>
    <w:rsid w:val="003B10D1"/>
    <w:rsid w:val="003C6A29"/>
    <w:rsid w:val="003D7516"/>
    <w:rsid w:val="003E59C2"/>
    <w:rsid w:val="004049D3"/>
    <w:rsid w:val="004268FC"/>
    <w:rsid w:val="004465D8"/>
    <w:rsid w:val="004754E8"/>
    <w:rsid w:val="004869E7"/>
    <w:rsid w:val="00493E17"/>
    <w:rsid w:val="004B21AD"/>
    <w:rsid w:val="004B335A"/>
    <w:rsid w:val="004C07E8"/>
    <w:rsid w:val="004C0915"/>
    <w:rsid w:val="004C0B2B"/>
    <w:rsid w:val="004C34E0"/>
    <w:rsid w:val="004C729B"/>
    <w:rsid w:val="004D6DD3"/>
    <w:rsid w:val="005042F5"/>
    <w:rsid w:val="00506B6E"/>
    <w:rsid w:val="00525E24"/>
    <w:rsid w:val="00560BB2"/>
    <w:rsid w:val="00563E8F"/>
    <w:rsid w:val="00576621"/>
    <w:rsid w:val="00585989"/>
    <w:rsid w:val="005A7A39"/>
    <w:rsid w:val="005B4835"/>
    <w:rsid w:val="005C1C97"/>
    <w:rsid w:val="005F2D09"/>
    <w:rsid w:val="005F566A"/>
    <w:rsid w:val="00623E64"/>
    <w:rsid w:val="0062795A"/>
    <w:rsid w:val="0063097E"/>
    <w:rsid w:val="006340D1"/>
    <w:rsid w:val="006400B0"/>
    <w:rsid w:val="00646019"/>
    <w:rsid w:val="00652545"/>
    <w:rsid w:val="00667E3D"/>
    <w:rsid w:val="006767F1"/>
    <w:rsid w:val="006B6E10"/>
    <w:rsid w:val="006C0188"/>
    <w:rsid w:val="006C2C94"/>
    <w:rsid w:val="006C48B9"/>
    <w:rsid w:val="006C7988"/>
    <w:rsid w:val="00703C41"/>
    <w:rsid w:val="00746E58"/>
    <w:rsid w:val="007673C0"/>
    <w:rsid w:val="00795916"/>
    <w:rsid w:val="007A3D46"/>
    <w:rsid w:val="007B4974"/>
    <w:rsid w:val="007E789F"/>
    <w:rsid w:val="007F234D"/>
    <w:rsid w:val="0080330E"/>
    <w:rsid w:val="008244E0"/>
    <w:rsid w:val="00826750"/>
    <w:rsid w:val="00840B02"/>
    <w:rsid w:val="00874923"/>
    <w:rsid w:val="008820BE"/>
    <w:rsid w:val="00887B5B"/>
    <w:rsid w:val="008A73ED"/>
    <w:rsid w:val="008E608E"/>
    <w:rsid w:val="008E62E6"/>
    <w:rsid w:val="00900DF5"/>
    <w:rsid w:val="00905361"/>
    <w:rsid w:val="00925EBC"/>
    <w:rsid w:val="009352BA"/>
    <w:rsid w:val="009718C2"/>
    <w:rsid w:val="0097262C"/>
    <w:rsid w:val="0098465F"/>
    <w:rsid w:val="00985537"/>
    <w:rsid w:val="009A1998"/>
    <w:rsid w:val="009F6AC9"/>
    <w:rsid w:val="00A17517"/>
    <w:rsid w:val="00A22C1B"/>
    <w:rsid w:val="00A464EE"/>
    <w:rsid w:val="00A92774"/>
    <w:rsid w:val="00AD408F"/>
    <w:rsid w:val="00B12D41"/>
    <w:rsid w:val="00B26D6E"/>
    <w:rsid w:val="00B55C1C"/>
    <w:rsid w:val="00B8186C"/>
    <w:rsid w:val="00BA160A"/>
    <w:rsid w:val="00BB3220"/>
    <w:rsid w:val="00BC4C56"/>
    <w:rsid w:val="00BE0969"/>
    <w:rsid w:val="00BE76A0"/>
    <w:rsid w:val="00C06FD0"/>
    <w:rsid w:val="00C140FF"/>
    <w:rsid w:val="00C369E8"/>
    <w:rsid w:val="00C521AD"/>
    <w:rsid w:val="00C67F4B"/>
    <w:rsid w:val="00C76005"/>
    <w:rsid w:val="00CC4B57"/>
    <w:rsid w:val="00CD0320"/>
    <w:rsid w:val="00CD1B63"/>
    <w:rsid w:val="00D06395"/>
    <w:rsid w:val="00D34EBA"/>
    <w:rsid w:val="00D35250"/>
    <w:rsid w:val="00D5162F"/>
    <w:rsid w:val="00D5363A"/>
    <w:rsid w:val="00D82658"/>
    <w:rsid w:val="00D95B49"/>
    <w:rsid w:val="00DB7057"/>
    <w:rsid w:val="00DD41EA"/>
    <w:rsid w:val="00DF0769"/>
    <w:rsid w:val="00DF10C5"/>
    <w:rsid w:val="00DF7B43"/>
    <w:rsid w:val="00E06557"/>
    <w:rsid w:val="00E173E5"/>
    <w:rsid w:val="00E32839"/>
    <w:rsid w:val="00E715D1"/>
    <w:rsid w:val="00E80222"/>
    <w:rsid w:val="00E84195"/>
    <w:rsid w:val="00E9534B"/>
    <w:rsid w:val="00EA50C8"/>
    <w:rsid w:val="00ED1E8F"/>
    <w:rsid w:val="00EE3F1F"/>
    <w:rsid w:val="00EF038B"/>
    <w:rsid w:val="00F03C73"/>
    <w:rsid w:val="00F06057"/>
    <w:rsid w:val="00F11E75"/>
    <w:rsid w:val="00F14A29"/>
    <w:rsid w:val="00F1542B"/>
    <w:rsid w:val="00F2779D"/>
    <w:rsid w:val="00F324DC"/>
    <w:rsid w:val="00F44036"/>
    <w:rsid w:val="00F85B6B"/>
    <w:rsid w:val="00F9217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7E8"/>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sJcdzBmWX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Props1.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2.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4.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4</cp:revision>
  <dcterms:created xsi:type="dcterms:W3CDTF">2026-04-27T22:24:00Z</dcterms:created>
  <dcterms:modified xsi:type="dcterms:W3CDTF">2026-04-27T22:25:00Z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